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Nucleo Polizia Stradale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Il personale svolge attivita' di: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prevenzione ed accertamento di illeciti in materia di circolazione stradale;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rilevazioni tecniche relative ad incidenti stradali ai fini giudiziari;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predisposizione ed esecuzione di servizi diretti alla regolamentazione del traffico; operazioni di soccorso automobilistico e stradale in genere.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Comprende le attivita' di polizia stradale, per la prevenzione e la repressione di comportamenti illeciti tenuti nel territorio di competenza dell'ente. Provvede a vigilare sull'osservanza delle leggi, dei regolamenti, delle ordinanze e delle altre disposizioni emanate dallo Stato, dalla Regione, dalla Provincia e dal Comune; a prestare opera di soccorso nelle pubbliche calamita', nonche' in caso di privati infortuni; svolge funzioni attinenti la tutela della sicurezza del patrimonio pubblico e privato, dell'ordine, del decoro e della quiete pubblica; Con riferimento al sistema integrato di sicurezza urbana svolge funzioni tipiche di prevenzione ed educative, anche attraverso un costante e qualificato rapporto con la popolazione. Presta servizio d'ordine e di rappresentanza; e collabora con i servizi e le operazioni di Protezione Civile demandate dalla legge al Comune;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Commissario Manina Stefano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Regolamentazione traffico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Nucleo 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Autorizzazioni al transito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Nucleo 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Accertamento violazioni stradali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Nucleo 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Pattugliamento stradale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Nucleo 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segnaletica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Nucleo 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Sorveglianza degli attraversamenti pedonali davanti alle scuole elementari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Nucleo 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Ordinanze regolamentazione circolazione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Nucleo 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Nulla osta per trasporti eccezionali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Nucleo Polizia Stradale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Sequestro di veicoli coinvolti nel sinistro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M) Controllo circolazione stradale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Nucleo Polizia Stradale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